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2"/>
        </w:rPr>
        <w:t>Исх. № 26/0522/01-ГИП от «22» мая 2026 г.</w:t>
      </w:r>
    </w:p>
    <w:p>
      <w:pPr>
        <w:jc w:val="right"/>
      </w:pPr>
      <w:r>
        <w:rPr>
          <w:b/>
          <w:sz w:val="22"/>
        </w:rPr>
        <w:t>ФГБОУ ВО «РЭУ им. Г.В. Плеханова»</w:t>
      </w:r>
    </w:p>
    <w:p>
      <w:pPr>
        <w:jc w:val="right"/>
      </w:pPr>
      <w:r>
        <w:rPr>
          <w:sz w:val="22"/>
        </w:rPr>
        <w:t>Ответственному за исполнение</w:t>
      </w:r>
    </w:p>
    <w:p>
      <w:pPr>
        <w:jc w:val="right"/>
      </w:pPr>
      <w:r>
        <w:rPr>
          <w:sz w:val="22"/>
        </w:rPr>
        <w:t>контракта № 1-К/26</w:t>
      </w:r>
    </w:p>
    <w:p>
      <w:pPr>
        <w:jc w:val="right"/>
      </w:pPr>
      <w:r>
        <w:rPr>
          <w:sz w:val="22"/>
        </w:rPr>
        <w:t>С.А. Мельниковой</w:t>
      </w:r>
    </w:p>
    <w:p/>
    <w:p>
      <w:pPr>
        <w:spacing w:after="40"/>
        <w:jc w:val="center"/>
      </w:pPr>
      <w:r>
        <w:rPr>
          <w:b/>
          <w:sz w:val="24"/>
        </w:rPr>
        <w:t>О согласовании Порядка выполнения работ</w:t>
      </w:r>
    </w:p>
    <w:p>
      <w:pPr>
        <w:spacing w:after="280"/>
        <w:jc w:val="center"/>
      </w:pPr>
      <w:r>
        <w:rPr>
          <w:b/>
          <w:sz w:val="24"/>
        </w:rPr>
        <w:t>по контракту № 1-К/26 от __.__.2026 г.</w:t>
      </w:r>
    </w:p>
    <w:p>
      <w:pPr>
        <w:spacing w:line="276" w:lineRule="auto" w:after="200"/>
      </w:pPr>
      <w:r>
        <w:rPr>
          <w:sz w:val="22"/>
        </w:rPr>
        <w:t>Уважаемая Светлана Александровна!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В соответствии с пунктом 9.4 Технического задания (Приложение № 1 к контракту № 1-К/26 от __.__.2026 г.) и в установленный Контрактом срок направляю на согласование Порядок выполнения работ по разработке проектно-сметной документации на капитальный ремонт зданий ФГБОУ ВО «РЭУ им. Г.В. Плеханова» по адресу: г. Улан-Батор, Баянзурхский район, 14-й участок, 14-й квартал /13335/, просп. Мира, здания № 69, 69/1, 69/2, 69/6 (далее — Порядок).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Порядок разработан в соответствии с требованиями Технического задания, Постановления Правительства РФ от 16.02.2008 № 87 «О составе разделов проектной документации и требованиях к их содержанию», ГОСТ 31937-2024 «Здания и сооружения. Правила обследования и мониторинга технического состояния» и определяет:</w:t>
      </w:r>
    </w:p>
    <w:p>
      <w:pPr>
        <w:pStyle w:val="ListBullet"/>
        <w:spacing w:line="276" w:lineRule="auto" w:after="40"/>
      </w:pPr>
      <w:r>
        <w:rPr>
          <w:sz w:val="22"/>
        </w:rPr>
        <w:t>состав, последовательность и сроки выполнения работ по трём этапам (обследование, проектная документация, рабочая документация);</w:t>
      </w:r>
    </w:p>
    <w:p>
      <w:pPr>
        <w:pStyle w:val="ListBullet"/>
        <w:spacing w:line="276" w:lineRule="auto" w:after="40"/>
      </w:pPr>
      <w:r>
        <w:rPr>
          <w:sz w:val="22"/>
        </w:rPr>
        <w:t>методологию проведения обследования с детализацией мероприятий по обмерным работам, фотофиксации, формированию ведомостей дефектов и поверочным расчётам несущих конструкций;</w:t>
      </w:r>
    </w:p>
    <w:p>
      <w:pPr>
        <w:pStyle w:val="ListBullet"/>
        <w:spacing w:line="276" w:lineRule="auto" w:after="40"/>
      </w:pPr>
      <w:r>
        <w:rPr>
          <w:sz w:val="22"/>
        </w:rPr>
        <w:t>состав проектной документации по каждому из четырёх объектов в соответствии с разделом 10 Технического задания;</w:t>
      </w:r>
    </w:p>
    <w:p>
      <w:pPr>
        <w:pStyle w:val="ListBullet"/>
        <w:spacing w:line="276" w:lineRule="auto" w:after="40"/>
      </w:pPr>
      <w:r>
        <w:rPr>
          <w:sz w:val="22"/>
        </w:rPr>
        <w:t>порядок прохождения проверки достоверности определения сметной стоимости в ФАУ «Главгосэкспертиза России»;</w:t>
      </w:r>
    </w:p>
    <w:p>
      <w:pPr>
        <w:pStyle w:val="ListBullet"/>
        <w:spacing w:line="276" w:lineRule="auto" w:after="40"/>
      </w:pPr>
      <w:r>
        <w:rPr>
          <w:sz w:val="22"/>
        </w:rPr>
        <w:t>ключевой персонал, привлекаемый к выполнению работ, и его квалификацию;</w:t>
      </w:r>
    </w:p>
    <w:p>
      <w:pPr>
        <w:pStyle w:val="ListBullet"/>
        <w:spacing w:line="276" w:lineRule="auto" w:after="40"/>
      </w:pPr>
      <w:r>
        <w:rPr>
          <w:sz w:val="22"/>
        </w:rPr>
        <w:t>регламент взаимодействия с Заказчиком на всём периоде исполнения Контракта.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Прошу Вас рассмотреть прилагаемый Порядок выполнения работ и сообщить о его согласовании, либо направить в наш адрес замечания и предложения, в срок до «__» __________ 2026 г. После получения подтверждения о согласовании Порядка ООО «МРС» приступит к выполнению Этапа 1 «Обследование объектов».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По всем техническим вопросам, связанным с реализацией Порядка, прошу Вас связываться непосредственно с Главным инженером проекта по контактным данным, указанным в подписи к настоящему письму.</w:t>
      </w:r>
    </w:p>
    <w:p/>
    <w:p>
      <w:r>
        <w:rPr>
          <w:b/>
          <w:sz w:val="22"/>
        </w:rPr>
        <w:t>Приложение:</w:t>
      </w:r>
    </w:p>
    <w:p>
      <w:r>
        <w:rPr>
          <w:sz w:val="22"/>
        </w:rPr>
        <w:t>Порядок выполнения работ по разработке проектно-сметной документации на капитальный ремонт зданий ФГБОУ ВО «РЭУ им. Г.В. Плеханова» в г. Улан-Батор, на ___ листах в 1 экземпляре.</w:t>
      </w:r>
    </w:p>
    <w:p/>
    <w:p/>
    <w:p>
      <w:pPr>
        <w:spacing w:line="276" w:lineRule="auto" w:after="80"/>
      </w:pPr>
      <w:r>
        <w:rPr>
          <w:sz w:val="22"/>
        </w:rPr>
        <w:t>С уважением,</w:t>
      </w:r>
    </w:p>
    <w:p>
      <w:r>
        <w:rPr>
          <w:b/>
          <w:sz w:val="22"/>
        </w:rPr>
        <w:t>Главный инженер проекта</w:t>
      </w:r>
    </w:p>
    <w:p>
      <w:r>
        <w:rPr>
          <w:b/>
          <w:sz w:val="22"/>
        </w:rPr>
        <w:t>ООО «МРС»</w:t>
      </w:r>
    </w:p>
    <w:p/>
    <w:p>
      <w:r>
        <w:rPr>
          <w:sz w:val="22"/>
        </w:rPr>
        <w:t>_________________ /__________________________/</w:t>
      </w:r>
    </w:p>
    <w:p>
      <w:r>
        <w:rPr>
          <w:i/>
          <w:color w:val="707070"/>
          <w:sz w:val="18"/>
        </w:rPr>
        <w:t xml:space="preserve">                  (подпись)              (Ф.И.О.)</w:t>
      </w:r>
    </w:p>
    <w:p/>
    <w:p>
      <w:r>
        <w:rPr>
          <w:sz w:val="20"/>
        </w:rPr>
        <w:t>тел. +7 (___) ___-__-__   |   e-mail: gip@mrsled.ru</w:t>
      </w:r>
    </w:p>
    <w:p/>
    <w:p>
      <w:r>
        <w:rPr>
          <w:b/>
          <w:sz w:val="20"/>
        </w:rPr>
        <w:t>СОГЛАСОВАНО:</w:t>
      </w:r>
    </w:p>
    <w:p>
      <w:r>
        <w:rPr>
          <w:sz w:val="20"/>
        </w:rPr>
        <w:t>Генеральный директор ООО «МРС»</w:t>
      </w:r>
    </w:p>
    <w:p>
      <w:r>
        <w:rPr>
          <w:sz w:val="20"/>
        </w:rPr>
        <w:t>_________________ М.Б. Молотилов          «___» __________ 2026 г.</w:t>
      </w:r>
    </w:p>
    <w:p/>
    <w:p>
      <w:pPr>
        <w:jc w:val="center"/>
      </w:pPr>
      <w:r>
        <w:rPr>
          <w:color w:val="555555"/>
          <w:sz w:val="16"/>
        </w:rPr>
        <w:t>ООО «МРС»  |  ИНН 7743918820  |  КПП 774301001  |  ОГРН 1147746230818</w:t>
        <w:br/>
        <w:t>125315, г. Москва, Ленинградский проспект, д. 80Б, корп. 1, этаж 1, офис 112</w:t>
        <w:br/>
        <w:t>тел. +7 (495) 221-05-46  |  info@mrsled.ru  |  www.mrsled.ru</w:t>
      </w:r>
    </w:p>
    <w:p>
      <w:r>
        <w:br w:type="page"/>
      </w:r>
    </w:p>
    <w:p>
      <w:pPr>
        <w:jc w:val="right"/>
      </w:pPr>
      <w:r>
        <w:rPr>
          <w:b/>
          <w:sz w:val="22"/>
        </w:rPr>
        <w:t>Приложение № 1</w:t>
      </w:r>
    </w:p>
    <w:p>
      <w:pPr>
        <w:jc w:val="right"/>
      </w:pPr>
      <w:r>
        <w:rPr>
          <w:sz w:val="22"/>
        </w:rPr>
        <w:t>к исх. № 26/0522/01-ГИП от 22.05.2026 г.</w:t>
      </w:r>
    </w:p>
    <w:p/>
    <w:p/>
    <w:p>
      <w:pPr>
        <w:jc w:val="center"/>
      </w:pPr>
      <w:r>
        <w:rPr>
          <w:b/>
          <w:sz w:val="28"/>
        </w:rPr>
        <w:t>ПОРЯДОК ВЫПОЛНЕНИЯ РАБОТ</w:t>
      </w:r>
    </w:p>
    <w:p>
      <w:pPr>
        <w:jc w:val="center"/>
      </w:pPr>
      <w:r>
        <w:rPr>
          <w:sz w:val="22"/>
        </w:rPr>
        <w:t>по разработке проектно-сметной документации на капитальный ремонт зданий ФГБОУ ВО «РЭУ им. Г.В. Плеханова» по адресу: г. Улан-Батор, Баянзурхский район, 14-й участок, 14-й квартал /13335/, просп. Мира, здания № 69, 69/1, 69/2, 69/6</w:t>
      </w:r>
    </w:p>
    <w:p>
      <w:pPr>
        <w:spacing w:after="360"/>
        <w:jc w:val="center"/>
      </w:pPr>
      <w:r>
        <w:rPr>
          <w:i/>
          <w:sz w:val="22"/>
        </w:rPr>
        <w:t>(контракт № 1-К/26 от __.__.2026 г.)</w:t>
      </w:r>
    </w:p>
    <w:p>
      <w:pPr>
        <w:keepNext/>
        <w:spacing w:before="280" w:after="120"/>
      </w:pPr>
      <w:r>
        <w:rPr>
          <w:b/>
          <w:sz w:val="26"/>
        </w:rPr>
        <w:t>1. Общие положения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1.1. Настоящий Порядок выполнения работ (далее — Порядок) разработан в соответствии с пунктом 9.4 Технического задания (Приложение № 1 к контракту № 1-К/26 от __.__.2026 г., далее — ТЗ) и определяет состав, последовательность, сроки и методологию выполнения работ ООО «МРС» (далее — Исполнитель) по разработке проектно-сметной документации (ПСД) на капитальный ремонт четырёх зданий ФГБОУ ВО «РЭУ им. Г.В. Плеханова» (далее — Заказчик) в г. Улан-Батор.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1.2. Работы выполняются на основании:</w:t>
      </w:r>
    </w:p>
    <w:p>
      <w:pPr>
        <w:pStyle w:val="ListBullet"/>
        <w:spacing w:line="276" w:lineRule="auto" w:after="40"/>
      </w:pPr>
      <w:r>
        <w:rPr>
          <w:sz w:val="22"/>
        </w:rPr>
        <w:t>контракта № 1-К/26 от __.__.2026 г. (ИКЗ 261770504349377050100100110027112243), заключённого по итогам закупки № 0373100076626000002;</w:t>
      </w:r>
    </w:p>
    <w:p>
      <w:pPr>
        <w:pStyle w:val="ListBullet"/>
        <w:spacing w:line="276" w:lineRule="auto" w:after="40"/>
      </w:pPr>
      <w:r>
        <w:rPr>
          <w:sz w:val="22"/>
        </w:rPr>
        <w:t>Технического задания (Приложение № 1 к Контракту);</w:t>
      </w:r>
    </w:p>
    <w:p>
      <w:pPr>
        <w:pStyle w:val="ListBullet"/>
        <w:spacing w:line="276" w:lineRule="auto" w:after="40"/>
      </w:pPr>
      <w:r>
        <w:rPr>
          <w:sz w:val="22"/>
        </w:rPr>
        <w:t>Расчёта цены Контракта и смет на проектные и изыскательские работы (Приложение № 2 к Контракту);</w:t>
      </w:r>
    </w:p>
    <w:p>
      <w:pPr>
        <w:pStyle w:val="ListBullet"/>
        <w:spacing w:line="276" w:lineRule="auto" w:after="40"/>
      </w:pPr>
      <w:r>
        <w:rPr>
          <w:sz w:val="22"/>
        </w:rPr>
        <w:t>Федерального закона от 05.04.2013 № 44-ФЗ;</w:t>
      </w:r>
    </w:p>
    <w:p>
      <w:pPr>
        <w:pStyle w:val="ListBullet"/>
        <w:spacing w:line="276" w:lineRule="auto" w:after="40"/>
      </w:pPr>
      <w:r>
        <w:rPr>
          <w:sz w:val="22"/>
        </w:rPr>
        <w:t>Градостроительного кодекса Российской Федерации от 29.12.2004 № 190-ФЗ;</w:t>
      </w:r>
    </w:p>
    <w:p>
      <w:pPr>
        <w:pStyle w:val="ListBullet"/>
        <w:spacing w:line="276" w:lineRule="auto" w:after="40"/>
      </w:pPr>
      <w:r>
        <w:rPr>
          <w:sz w:val="22"/>
        </w:rPr>
        <w:t>Постановления Правительства РФ от 16.02.2008 № 87 «О составе разделов проектной документации и требованиях к их содержанию»;</w:t>
      </w:r>
    </w:p>
    <w:p>
      <w:pPr>
        <w:pStyle w:val="ListBullet"/>
        <w:spacing w:line="276" w:lineRule="auto" w:after="40"/>
      </w:pPr>
      <w:r>
        <w:rPr>
          <w:sz w:val="22"/>
        </w:rPr>
        <w:t>ГОСТ 31937-2024 «Здания и сооружения. Правила обследования и мониторинга технического состояния»;</w:t>
      </w:r>
    </w:p>
    <w:p>
      <w:pPr>
        <w:pStyle w:val="ListBullet"/>
        <w:spacing w:line="276" w:lineRule="auto" w:after="40"/>
      </w:pPr>
      <w:r>
        <w:rPr>
          <w:sz w:val="22"/>
        </w:rPr>
        <w:t>иных нормативно-технических документов, перечисленных в пункте 3 ТЗ.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1.3. Срок выполнения работ — 190 (сто девяносто) календарных дней с даты подписания Контракта. Возможно досрочное выполнение работ по согласованию с Заказчиком.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1.4. Объекты выполнения работ: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1995"/>
        <w:gridCol w:w="1995"/>
        <w:gridCol w:w="1995"/>
        <w:gridCol w:w="1995"/>
        <w:gridCol w:w="1995"/>
      </w:tblGrid>
      <w:tr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Шифр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Назначение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Год постройки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Площадь, м²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20"/>
              </w:rPr>
              <w:t>Этажность</w:t>
            </w:r>
          </w:p>
        </w:tc>
      </w:tr>
      <w:tr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№ 69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Главный корпус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1968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4 224,47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5 эт. (4 надз. + цок. + чердак + подвал)</w:t>
            </w:r>
          </w:p>
        </w:tc>
      </w:tr>
      <w:tr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№ 69/1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Корпус с переходом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1991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3 778,45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3–4 эт. (с цок./подв./черд.)</w:t>
            </w:r>
          </w:p>
        </w:tc>
      </w:tr>
      <w:tr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№ 69/2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Бассейн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1968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1 043,66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 эт. (+ подвал)</w:t>
            </w:r>
          </w:p>
        </w:tc>
      </w:tr>
      <w:tr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№ 69/6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Детский сад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1968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1 043,66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20"/>
              </w:rPr>
              <w:t>1 эт. (+ чердак + подвал)</w:t>
            </w:r>
          </w:p>
        </w:tc>
      </w:tr>
    </w:tbl>
    <w:p/>
    <w:p>
      <w:pPr>
        <w:spacing w:line="276" w:lineRule="auto" w:after="80"/>
        <w:ind w:firstLine="709"/>
        <w:jc w:val="both"/>
      </w:pPr>
      <w:r>
        <w:rPr>
          <w:sz w:val="22"/>
        </w:rPr>
        <w:t>1.5. Работы выполняются в три последовательно-параллельных этапа: Этап 1 «Обследование», Этап 2 «Проектная документация», Этап 3 «Рабочая документация». Допускается параллельная разработка отдельных разделов проектной и рабочей документации после сдачи Заказчику технических заключений по результатам обследования.</w:t>
      </w:r>
    </w:p>
    <w:p>
      <w:pPr>
        <w:keepNext/>
        <w:spacing w:before="280" w:after="120"/>
      </w:pPr>
      <w:r>
        <w:rPr>
          <w:b/>
          <w:sz w:val="26"/>
        </w:rPr>
        <w:t>2. Этапы выполнения работ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Календарный план составлен в днях от даты подписания Контракта (день 0). Конкретные календарные даты определяются при подписании Контракта и фиксируются в графике производства работ (выпускается отдельным документом в течение 10 рабочих дней с даты заключения Контракта).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Этап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Срок (день от даты заключения)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Ключевые результаты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Основание</w:t>
            </w:r>
          </w:p>
        </w:tc>
      </w:tr>
      <w:tr>
        <w:tc>
          <w:tcPr>
            <w:tcW w:type="dxa" w:w="2493"/>
            <w:vAlign w:val="top"/>
          </w:tcPr>
          <w:p>
            <w:r>
              <w:rPr>
                <w:sz w:val="19"/>
              </w:rPr>
              <w:t>Подготовительный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0–10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Уведомление об уполномоченном лице (2 дн.); приказы по команде, списки персонала с квалификацией (3 дн.); согласование Порядка выполнения работ (7 дн.); получение от Заказчика архивной документации (3 дн.); сбор недостающих ИРД и технических условий.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пп. 8.2.1 Контракта; пп. 6, 9.1, 9.4 ТЗ</w:t>
            </w:r>
          </w:p>
        </w:tc>
      </w:tr>
      <w:tr>
        <w:tc>
          <w:tcPr>
            <w:tcW w:type="dxa" w:w="2493"/>
            <w:vAlign w:val="top"/>
          </w:tcPr>
          <w:p>
            <w:r>
              <w:rPr>
                <w:sz w:val="19"/>
              </w:rPr>
              <w:t>Этап 1. Обследование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10–60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Программа обследования; четыре командировки на объект (по одному корпусу за выезд) — обмерные работы, фотофиксация, инструментальное обследование, фасады с применением промышленного альпинизма; технические отчёты по обмерам и технические заключения по каждому из четырёх зданий; акты обратной заделки вскрытий; поверочные расчёты несущих конструкций.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п. 8 ТЗ (этап 1); ГОСТ 31937-2024; Смета № 1</w:t>
            </w:r>
          </w:p>
        </w:tc>
      </w:tr>
      <w:tr>
        <w:tc>
          <w:tcPr>
            <w:tcW w:type="dxa" w:w="2493"/>
            <w:vAlign w:val="top"/>
          </w:tcPr>
          <w:p>
            <w:r>
              <w:rPr>
                <w:sz w:val="19"/>
              </w:rPr>
              <w:t>Этап 2. Проектная документация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50–150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Разработка ПД в составе по каждому из четырёх зданий (раздел 10 ТЗ); согласования с уполномоченными органами и эксплуатирующими организациями; формирование сметной документации (локальные/объектные сметы, ССР); подача в ФАУ «Главгосэкспертиза России» и получение положительного заключения о достоверности сметной стоимости.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п. 8 ТЗ (этап 2); ПП РФ № 87; Смета № 2</w:t>
            </w:r>
          </w:p>
        </w:tc>
      </w:tr>
      <w:tr>
        <w:tc>
          <w:tcPr>
            <w:tcW w:type="dxa" w:w="2493"/>
            <w:vAlign w:val="top"/>
          </w:tcPr>
          <w:p>
            <w:r>
              <w:rPr>
                <w:sz w:val="19"/>
              </w:rPr>
              <w:t>Этап 3. Рабочая документация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120–180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Разработка РД на основании ПД, прошедшей экспертизу: рабочие чертежи по разделам, спецификации оборудования и материалов, заказные спецификации, ТУ, сертификаты, паспорта, перечень работ, подлежащих комиссионной приёмке, сопоставительные ведомости объёмов работ.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п. 8 ТЗ (этап 3); пп. 2.5, 2.6 ТЗ</w:t>
            </w:r>
          </w:p>
        </w:tc>
      </w:tr>
      <w:tr>
        <w:tc>
          <w:tcPr>
            <w:tcW w:type="dxa" w:w="2493"/>
            <w:vAlign w:val="top"/>
          </w:tcPr>
          <w:p>
            <w:r>
              <w:rPr>
                <w:sz w:val="19"/>
              </w:rPr>
              <w:t>Сдача-приёмка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180–190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Опись передаваемой документации; формирование электронного сводного комплекта ПД/РД (приказ Минстроя от 12.05.2017 № 783/пр); подписание Сторонами структурированного документа о приёмке в ЕИС; передача исключительных прав на РИД Заказчику в соответствии с п. 16.4 Контракта.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п. 3 Контракта; ч. 13 ст. 94 № 44-ФЗ</w:t>
            </w:r>
          </w:p>
        </w:tc>
      </w:tr>
      <w:tr>
        <w:tc>
          <w:tcPr>
            <w:tcW w:type="dxa" w:w="2493"/>
            <w:vAlign w:val="top"/>
          </w:tcPr>
          <w:p>
            <w:r>
              <w:rPr>
                <w:sz w:val="19"/>
              </w:rPr>
              <w:t>Гарантийный период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190 + 3 года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Поддержка авторских пояснений к ПД и РД; устранение недостатков, обнаруженных в течение гарантийного срока (3 года), за счёт Исполнителя.</w:t>
            </w:r>
          </w:p>
        </w:tc>
        <w:tc>
          <w:tcPr>
            <w:tcW w:type="dxa" w:w="2493"/>
            <w:vAlign w:val="top"/>
          </w:tcPr>
          <w:p>
            <w:r>
              <w:rPr>
                <w:sz w:val="19"/>
              </w:rPr>
              <w:t>п. 3.10 Контракта; п. 4.2–4.4 ТЗ</w:t>
            </w:r>
          </w:p>
        </w:tc>
      </w:tr>
    </w:tbl>
    <w:p/>
    <w:p>
      <w:pPr>
        <w:keepNext/>
        <w:spacing w:before="280" w:after="120"/>
      </w:pPr>
      <w:r>
        <w:rPr>
          <w:b/>
          <w:sz w:val="26"/>
        </w:rPr>
        <w:t>3. Методология обследования (Этап 1)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Обследование выполняется в соответствии с ГОСТ 31937-2024 и пунктом 9.4 ТЗ и состоит из следующих последовательных мероприятий:</w:t>
      </w:r>
    </w:p>
    <w:p>
      <w:pPr>
        <w:keepNext/>
        <w:spacing w:before="280" w:after="120"/>
      </w:pPr>
      <w:r>
        <w:rPr>
          <w:b/>
          <w:sz w:val="23"/>
        </w:rPr>
        <w:t>3.1. Подготовка к обследованию</w:t>
      </w:r>
    </w:p>
    <w:p>
      <w:pPr>
        <w:pStyle w:val="ListBullet"/>
        <w:spacing w:line="276" w:lineRule="auto" w:after="40"/>
      </w:pPr>
      <w:r>
        <w:rPr>
          <w:sz w:val="22"/>
        </w:rPr>
        <w:t>сбор исходно-разрешительной документации (архивные планы БТИ, ранее выпущенные проектные и эксплуатационные документы, документация балансодержателя);</w:t>
      </w:r>
    </w:p>
    <w:p>
      <w:pPr>
        <w:pStyle w:val="ListBullet"/>
        <w:spacing w:line="276" w:lineRule="auto" w:after="40"/>
      </w:pPr>
      <w:r>
        <w:rPr>
          <w:sz w:val="22"/>
        </w:rPr>
        <w:t>согласование Программы обследования с Заказчиком (отдельный документ, выпускается до выезда на объект);</w:t>
      </w:r>
    </w:p>
    <w:p>
      <w:pPr>
        <w:pStyle w:val="ListBullet"/>
        <w:spacing w:line="276" w:lineRule="auto" w:after="40"/>
      </w:pPr>
      <w:r>
        <w:rPr>
          <w:sz w:val="22"/>
        </w:rPr>
        <w:t>оформление виз и регистрации специалистов в Монголии (ФЗ № 109-ФЗ, ФЗ № 115-ФЗ);</w:t>
      </w:r>
    </w:p>
    <w:p>
      <w:pPr>
        <w:pStyle w:val="ListBullet"/>
        <w:spacing w:line="276" w:lineRule="auto" w:after="40"/>
      </w:pPr>
      <w:r>
        <w:rPr>
          <w:sz w:val="22"/>
        </w:rPr>
        <w:t>оформление пропусков на территорию объекта по согласованию с Заказчиком и монгольским балансодержателем.</w:t>
      </w:r>
    </w:p>
    <w:p>
      <w:pPr>
        <w:keepNext/>
        <w:spacing w:before="280" w:after="120"/>
      </w:pPr>
      <w:r>
        <w:rPr>
          <w:b/>
          <w:sz w:val="23"/>
        </w:rPr>
        <w:t>3.2. Натурное обследование</w:t>
      </w:r>
    </w:p>
    <w:p>
      <w:pPr>
        <w:pStyle w:val="ListBullet"/>
        <w:spacing w:line="276" w:lineRule="auto" w:after="40"/>
      </w:pPr>
      <w:r>
        <w:rPr>
          <w:sz w:val="22"/>
        </w:rPr>
        <w:t>предварительная (визуальная) оценка технического состояния несущих и ограждающих конструкций по внешним признакам, с обязательной фотофиксацией выявленных дефектов и повреждений, включая фасадные конструкции и кровельное покрытие;</w:t>
      </w:r>
    </w:p>
    <w:p>
      <w:pPr>
        <w:pStyle w:val="ListBullet"/>
        <w:spacing w:line="276" w:lineRule="auto" w:after="40"/>
      </w:pPr>
      <w:r>
        <w:rPr>
          <w:sz w:val="22"/>
        </w:rPr>
        <w:t>выборочные обмерные работы в объёме, достаточном для формирования карт дефектов и проведения поверочных расчётов;</w:t>
      </w:r>
    </w:p>
    <w:p>
      <w:pPr>
        <w:pStyle w:val="ListBullet"/>
        <w:spacing w:line="276" w:lineRule="auto" w:after="40"/>
      </w:pPr>
      <w:r>
        <w:rPr>
          <w:sz w:val="22"/>
        </w:rPr>
        <w:t>обследование наружных стен и фасадных конструкций на высоте с применением снаряжения промышленного альпинизма;</w:t>
      </w:r>
    </w:p>
    <w:p>
      <w:pPr>
        <w:pStyle w:val="ListBullet"/>
        <w:spacing w:line="276" w:lineRule="auto" w:after="40"/>
      </w:pPr>
      <w:r>
        <w:rPr>
          <w:sz w:val="22"/>
        </w:rPr>
        <w:t>локальные вскрытия конструкций для определения размеров несущих элементов и параметров армирования с последующей обратной заделкой/засыпкой по акту;</w:t>
      </w:r>
    </w:p>
    <w:p>
      <w:pPr>
        <w:pStyle w:val="ListBullet"/>
        <w:spacing w:line="276" w:lineRule="auto" w:after="40"/>
      </w:pPr>
      <w:r>
        <w:rPr>
          <w:sz w:val="22"/>
        </w:rPr>
        <w:t>обследование инженерных сетей (ОВиК, ВК, ЭО, СС, АПС/СОУЭ) в объёме, необходимом для оценки фактического износа и принятия решений по капремонту.</w:t>
      </w:r>
    </w:p>
    <w:p>
      <w:pPr>
        <w:keepNext/>
        <w:spacing w:before="280" w:after="120"/>
      </w:pPr>
      <w:r>
        <w:rPr>
          <w:b/>
          <w:sz w:val="23"/>
        </w:rPr>
        <w:t>3.3. Камеральная обработка и поверочные расчёты</w:t>
      </w:r>
    </w:p>
    <w:p>
      <w:pPr>
        <w:pStyle w:val="ListBullet"/>
        <w:spacing w:line="276" w:lineRule="auto" w:after="40"/>
      </w:pPr>
      <w:r>
        <w:rPr>
          <w:sz w:val="22"/>
        </w:rPr>
        <w:t>формирование описательной части и графической информации (планы, разрезы, схемы с указанием мест обнаруженных дефектов и повреждений);</w:t>
      </w:r>
    </w:p>
    <w:p>
      <w:pPr>
        <w:pStyle w:val="ListBullet"/>
        <w:spacing w:line="276" w:lineRule="auto" w:after="40"/>
      </w:pPr>
      <w:r>
        <w:rPr>
          <w:sz w:val="22"/>
        </w:rPr>
        <w:t>формирование Ведомости дефектов и повреждений с указанием объёмов и обоснованием наиболее вероятных причин их появления;</w:t>
      </w:r>
    </w:p>
    <w:p>
      <w:pPr>
        <w:pStyle w:val="ListBullet"/>
        <w:spacing w:line="276" w:lineRule="auto" w:after="40"/>
      </w:pPr>
      <w:r>
        <w:rPr>
          <w:sz w:val="22"/>
        </w:rPr>
        <w:t>составление Карты дефектов и повреждений — нанесение дефектов на обмерные чертежи, классификация по условным обозначениям, привязка к фотоматериалам;</w:t>
      </w:r>
    </w:p>
    <w:p>
      <w:pPr>
        <w:pStyle w:val="ListBullet"/>
        <w:spacing w:line="276" w:lineRule="auto" w:after="40"/>
      </w:pPr>
      <w:r>
        <w:rPr>
          <w:sz w:val="22"/>
        </w:rPr>
        <w:t>плоскостные поверочные расчёты отдельных конструкций с заключениями об обеспеченности прочности, жёсткости и устойчивости;</w:t>
      </w:r>
    </w:p>
    <w:p>
      <w:pPr>
        <w:pStyle w:val="ListBullet"/>
        <w:spacing w:line="276" w:lineRule="auto" w:after="40"/>
      </w:pPr>
      <w:r>
        <w:rPr>
          <w:sz w:val="22"/>
        </w:rPr>
        <w:t>поверочные расчёты основных несущих конструкций, находящихся в ограниченно-работоспособном состоянии, с принятием решения о ремонте, восстановлении, усилении или демонтаже;</w:t>
      </w:r>
    </w:p>
    <w:p>
      <w:pPr>
        <w:pStyle w:val="ListBullet"/>
        <w:spacing w:line="276" w:lineRule="auto" w:after="40"/>
      </w:pPr>
      <w:r>
        <w:rPr>
          <w:sz w:val="22"/>
        </w:rPr>
        <w:t>определение усилий в рассчитываемых элементах от действующих нагрузок (СП 20.13330.2016 «Нагрузки и воздействия»);</w:t>
      </w:r>
    </w:p>
    <w:p>
      <w:pPr>
        <w:pStyle w:val="ListBullet"/>
        <w:spacing w:line="276" w:lineRule="auto" w:after="40"/>
      </w:pPr>
      <w:r>
        <w:rPr>
          <w:sz w:val="22"/>
        </w:rPr>
        <w:t>формирование Технического отчёта по результатам обмерных работ и Технического заключения по каждому из четырёх зданий.</w:t>
      </w:r>
    </w:p>
    <w:p>
      <w:pPr>
        <w:keepNext/>
        <w:spacing w:before="280" w:after="120"/>
      </w:pPr>
      <w:r>
        <w:rPr>
          <w:b/>
          <w:sz w:val="26"/>
        </w:rPr>
        <w:t>4. Состав проектной документации (Этап 2)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Проектная документация разрабатывается в соответствии с разделом 10 ТЗ и Постановлением Правительства РФ от 16.02.2008 № 87. Состав разделов по каждому из четырёх объектов: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5"/>
        <w:gridCol w:w="1995"/>
        <w:gridCol w:w="1995"/>
        <w:gridCol w:w="1995"/>
        <w:gridCol w:w="1995"/>
      </w:tblGrid>
      <w:tr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19"/>
              </w:rPr>
              <w:t>Раздел / подраздел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19"/>
              </w:rPr>
              <w:t>69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19"/>
              </w:rPr>
              <w:t>69/1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19"/>
              </w:rPr>
              <w:t>69/2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b/>
                <w:sz w:val="19"/>
              </w:rPr>
              <w:t>69/6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Техническое заключение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Раздел 1. Пояснительная записка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Раздел 3. Объёмно-планировочные и архитектурные решения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Раздел 4. Конструктивные решения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5.1. Система электроснабжения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5.2. Система водоснабжения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5.3. Система водоотведения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5.4. ОВиК и тепловые сети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5.5.1. СКС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5.5.2. ЛВС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5.5.3. Телефонизация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5.5.5. Часофикация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5.5.6. Система динамического проецирования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5.5.7. СКУД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5.5.8. Охранная сигнализация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5.5.9. Видеонаблюдение (СОТ)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5.5.10. Автоматизация инженерных систем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5.5.11. Диспетчеризация инженерных систем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«Технологические решения»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Раздел 7. Проект организации капитального ремонта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9.1. Автоматическая пожарная сигнализация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9.2. СОУЭ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10.1. Мероприятия по антитеррористической защищённости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Раздел 11. Мероприятия по доступу инвалидов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—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Раздел 12. Сметная документация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  <w:tr>
        <w:tc>
          <w:tcPr>
            <w:tcW w:type="dxa" w:w="1995"/>
          </w:tcPr>
          <w:p>
            <w:pPr>
              <w:jc w:val="left"/>
            </w:pPr>
            <w:r>
              <w:rPr>
                <w:sz w:val="18"/>
              </w:rPr>
              <w:t>Подраздел 13.1. Охранно-защитная дератизационная система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  <w:tc>
          <w:tcPr>
            <w:tcW w:type="dxa" w:w="1995"/>
          </w:tcPr>
          <w:p>
            <w:pPr>
              <w:jc w:val="center"/>
            </w:pPr>
            <w:r>
              <w:rPr>
                <w:sz w:val="18"/>
              </w:rPr>
              <w:t>+</w:t>
            </w:r>
          </w:p>
        </w:tc>
      </w:tr>
    </w:tbl>
    <w:p/>
    <w:p>
      <w:pPr>
        <w:spacing w:line="276" w:lineRule="auto" w:after="80"/>
        <w:ind w:firstLine="709"/>
        <w:jc w:val="both"/>
      </w:pPr>
      <w:r>
        <w:rPr>
          <w:sz w:val="22"/>
        </w:rPr>
        <w:t>Дополнительно по каждому зданию разрабатываются ведомости объёмов работ (ВОР) с привязкой к чертежам и формулам подсчёта, дефектные ведомости, локальные сметные расчёты, объектные сметы, сводный сметный расчёт (ССР). Все позиции в ведомостях содержат ссылки на чертежи и обоснование объёмов (пункт 2.2 ТЗ).</w:t>
      </w:r>
    </w:p>
    <w:p>
      <w:pPr>
        <w:keepNext/>
        <w:spacing w:before="280" w:after="120"/>
      </w:pPr>
      <w:r>
        <w:rPr>
          <w:b/>
          <w:sz w:val="26"/>
        </w:rPr>
        <w:t>5. Прохождение Главгосэкспертизы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5.1. После завершения формирования сметной документации Исполнитель подаёт комплект в ФАУ «Главгосэкспертиза России» для проверки достоверности определения сметной стоимости капитального ремонта. Заявка подаётся через Единый портал государственных услуг и личный кабинет учреждения.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5.2. Срок прохождения проверки достоверности — до 45 рабочих дней с даты регистрации заявки. В рамках выполнения Контракта на прохождение экспертизы и устранение замечаний предусмотрен буфер в 60 календарных дней.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5.3. В случае выдачи отрицательного заключения по обстоятельствам, не связанным с виной Заказчика, устранение замечаний и повторная подача осуществляются за счёт Исполнителя в сроки, обеспечивающие исполнение Контракта в установленный срок (пункт 8.2 ТЗ, абзац 2 этапа 2).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5.4. Положительное заключение Главгосэкспертизы является обязательным условием для подписания Сторонами структурированного документа о приёмке в ЕИС (пункт 1.3 Контракта).</w:t>
      </w:r>
    </w:p>
    <w:p>
      <w:pPr>
        <w:keepNext/>
        <w:spacing w:before="280" w:after="120"/>
      </w:pPr>
      <w:r>
        <w:rPr>
          <w:b/>
          <w:sz w:val="26"/>
        </w:rPr>
        <w:t>6. Ключевой персонал и квалификация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В соответствии с пунктом 9.1 ТЗ Исполнитель направляет Заказчику списки привлекаемого персонала в течение 3 (трёх) рабочих дней с даты заключения Контракта с приложением документов, подтверждающих квалификацию. К выполнению работ привлекаются следующие ключевые специалисты: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Роль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  <w:sz w:val="20"/>
              </w:rPr>
              <w:t>Квалификационные требования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Руководитель проекта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техническое образование; стаж работы по специальности не менее 5 лет; опыт руководства аналогичными проектами не менее 3 лет.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Главный инженер проекта (ГИП)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техническое образование; членство в НРС (Национальный реестр специалистов в области инженерных изысканий и архитектурно-строительного проектирования); стаж работы по специальности не менее 10 лет.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Руководитель работ по обследованию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техническое образование; стаж работы по обследованию зданий и сооружений не менее 5 лет; знание ГОСТ 31937-2024.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Инженер по противопожарным мероприятиям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техническое образование; стаж работы по разработке разделов ПБ и АПС/СОУЭ не менее 5 лет.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Главный специалист — архитектор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архитектурное/строительное образование; членство в НРС; стаж работы по специальности не менее 7 лет.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Главный специалист — конструктор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строительное образование; членство в НРС; стаж работы по разработке конструктивных решений не менее 7 лет.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Главные специалисты по ИОС (ЭО, ВК, ОВиК, СС, СКУД/СОТ)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техническое образование по профилю раздела; стаж работы по специальности не менее 5 лет.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Главный специалист — сметчик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Высшее техническое или экономическое образование; стаж работы со сметами по объектам капитального ремонта не менее 5 лет; опыт защиты смет в ФАУ «Главгосэкспертиза России».</w:t>
            </w:r>
          </w:p>
        </w:tc>
      </w:tr>
      <w:tr>
        <w:tc>
          <w:tcPr>
            <w:tcW w:type="dxa" w:w="4986"/>
            <w:vAlign w:val="top"/>
          </w:tcPr>
          <w:p>
            <w:r>
              <w:rPr>
                <w:sz w:val="20"/>
              </w:rPr>
              <w:t>Специалист по нормоконтролю</w:t>
            </w:r>
          </w:p>
        </w:tc>
        <w:tc>
          <w:tcPr>
            <w:tcW w:type="dxa" w:w="4986"/>
            <w:vAlign w:val="top"/>
          </w:tcPr>
          <w:p>
            <w:r>
              <w:rPr>
                <w:sz w:val="20"/>
              </w:rPr>
              <w:t>Стаж работы по выпуску комплектов ПД и РД не менее 3 лет; знание требований приказа Минстроя от 12.05.2017 № 783/пр.</w:t>
            </w:r>
          </w:p>
        </w:tc>
      </w:tr>
    </w:tbl>
    <w:p/>
    <w:p>
      <w:pPr>
        <w:spacing w:line="276" w:lineRule="auto" w:after="80"/>
        <w:ind w:firstLine="709"/>
        <w:jc w:val="both"/>
      </w:pPr>
      <w:r>
        <w:rPr>
          <w:sz w:val="22"/>
        </w:rPr>
        <w:t>Персональный состав команды с указанием Ф.И.О., должностей, реквизитов удостоверений и выписок из НРС направляется в адрес Заказчика отдельным письмом (исх. № 26/0522/02-МРС от 22.05.2026 г.) в установленный пунктом 9.1 ТЗ срок.</w:t>
      </w:r>
    </w:p>
    <w:p>
      <w:pPr>
        <w:keepNext/>
        <w:spacing w:before="280" w:after="120"/>
      </w:pPr>
      <w:r>
        <w:rPr>
          <w:b/>
          <w:sz w:val="26"/>
        </w:rPr>
        <w:t>7. Порядок взаимодействия с Заказчиком</w:t>
      </w:r>
    </w:p>
    <w:p>
      <w:pPr>
        <w:pStyle w:val="ListBullet"/>
        <w:spacing w:line="276" w:lineRule="auto" w:after="40"/>
      </w:pPr>
      <w:r>
        <w:rPr>
          <w:sz w:val="22"/>
        </w:rPr>
        <w:t>Единая точка контакта со стороны Заказчика — ответственный по контракту С.А. Мельникова (тел. +7 (495) 800-12-00 доб. 1120, melnikova.sa@rea.ru).</w:t>
      </w:r>
    </w:p>
    <w:p>
      <w:pPr>
        <w:pStyle w:val="ListBullet"/>
        <w:spacing w:line="276" w:lineRule="auto" w:after="40"/>
      </w:pPr>
      <w:r>
        <w:rPr>
          <w:sz w:val="22"/>
        </w:rPr>
        <w:t>Единая точка контакта со стороны Исполнителя — Главный инженер проекта (контактные данные направлены Заказчику отдельным письмом в порядке пункта 8.2.1 Контракта).</w:t>
      </w:r>
    </w:p>
    <w:p>
      <w:pPr>
        <w:pStyle w:val="ListBullet"/>
        <w:spacing w:line="276" w:lineRule="auto" w:after="40"/>
      </w:pPr>
      <w:r>
        <w:rPr>
          <w:sz w:val="22"/>
        </w:rPr>
        <w:t>Еженедельные рабочие совещания проводятся в формате видео-конференц-связи (Zoom/Telemost) с фиксацией решений в протоколе. Протокол направляется Заказчику на согласование в течение 1 (одного) рабочего дня после совещания.</w:t>
      </w:r>
    </w:p>
    <w:p>
      <w:pPr>
        <w:pStyle w:val="ListBullet"/>
        <w:spacing w:line="276" w:lineRule="auto" w:after="40"/>
      </w:pPr>
      <w:r>
        <w:rPr>
          <w:sz w:val="22"/>
        </w:rPr>
        <w:t>Журнал замечаний Заказчика и ответов Исполнителя ведётся Исполнителем в электронной форме и доступен Заказчику по защищённой ссылке https://reports.scasis.app/mng/.</w:t>
      </w:r>
    </w:p>
    <w:p>
      <w:pPr>
        <w:pStyle w:val="ListBullet"/>
        <w:spacing w:line="276" w:lineRule="auto" w:after="40"/>
      </w:pPr>
      <w:r>
        <w:rPr>
          <w:sz w:val="22"/>
        </w:rPr>
        <w:t>Все выпускаемые в ходе исполнения Контракта рабочие версии документации размещаются Исполнителем в раздел https://reports.scasis.app/mng/docs/ для оперативного ознакомления Заказчиком (структурированный документ о приёмке формируется в ЕИС в порядке раздела 3 Контракта).</w:t>
      </w:r>
    </w:p>
    <w:p>
      <w:pPr>
        <w:pStyle w:val="ListBullet"/>
        <w:spacing w:line="276" w:lineRule="auto" w:after="40"/>
      </w:pPr>
      <w:r>
        <w:rPr>
          <w:sz w:val="22"/>
        </w:rPr>
        <w:t>Юридически значимая переписка ведётся в письменной форме с подписанием уполномоченных лиц Сторон и направляется по почте/электронной почте в соответствии с разделом 12 Контракта.</w:t>
      </w:r>
    </w:p>
    <w:p>
      <w:pPr>
        <w:pStyle w:val="ListBullet"/>
        <w:spacing w:line="276" w:lineRule="auto" w:after="40"/>
      </w:pPr>
      <w:r>
        <w:rPr>
          <w:sz w:val="22"/>
        </w:rPr>
        <w:t>Авторский надзор за реализацией проекта в рамках настоящего Контракта не предусмотрен и регулируется отдельным договором (при заключении).</w:t>
      </w:r>
    </w:p>
    <w:p>
      <w:pPr>
        <w:keepNext/>
        <w:spacing w:before="280" w:after="120"/>
      </w:pPr>
      <w:r>
        <w:rPr>
          <w:b/>
          <w:sz w:val="26"/>
        </w:rPr>
        <w:t>8. Контроль качества и нормоконтроль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Внутренний контроль качества обеспечивается на трёх уровнях:</w:t>
      </w:r>
    </w:p>
    <w:p>
      <w:pPr>
        <w:pStyle w:val="ListBullet"/>
        <w:spacing w:line="276" w:lineRule="auto" w:after="40"/>
      </w:pPr>
      <w:r>
        <w:rPr>
          <w:sz w:val="22"/>
        </w:rPr>
        <w:t>проверка главными специалистами по разделам в рамках своих компетенций;</w:t>
      </w:r>
    </w:p>
    <w:p>
      <w:pPr>
        <w:pStyle w:val="ListBullet"/>
        <w:spacing w:line="276" w:lineRule="auto" w:after="40"/>
      </w:pPr>
      <w:r>
        <w:rPr>
          <w:sz w:val="22"/>
        </w:rPr>
        <w:t>нормоконтроль (соответствие требованиям ГОСТ Р 21.101-2020, ГОСТ Р 2.109-2023 и иных применимых стандартов);</w:t>
      </w:r>
    </w:p>
    <w:p>
      <w:pPr>
        <w:pStyle w:val="ListBullet"/>
        <w:spacing w:line="276" w:lineRule="auto" w:after="40"/>
      </w:pPr>
      <w:r>
        <w:rPr>
          <w:sz w:val="22"/>
        </w:rPr>
        <w:t>выходной контроль ГИП — проверка комплектности, взаимоувязки разделов, соответствия Техническому заданию и решениям обследования.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Внешний контроль качества обеспечивается:</w:t>
      </w:r>
    </w:p>
    <w:p>
      <w:pPr>
        <w:pStyle w:val="ListBullet"/>
        <w:spacing w:line="276" w:lineRule="auto" w:after="40"/>
      </w:pPr>
      <w:r>
        <w:rPr>
          <w:sz w:val="22"/>
        </w:rPr>
        <w:t>согласованиями с уполномоченными органами, надзорными и эксплуатирующими организациями в соответствии с пунктом 4.1.2 ТЗ;</w:t>
      </w:r>
    </w:p>
    <w:p>
      <w:pPr>
        <w:pStyle w:val="ListBullet"/>
        <w:spacing w:line="276" w:lineRule="auto" w:after="40"/>
      </w:pPr>
      <w:r>
        <w:rPr>
          <w:sz w:val="22"/>
        </w:rPr>
        <w:t>положительным заключением ФАУ «Главгосэкспертиза России» о достоверности определения сметной стоимости (пункт 4.1.3 ТЗ);</w:t>
      </w:r>
    </w:p>
    <w:p>
      <w:pPr>
        <w:pStyle w:val="ListBullet"/>
        <w:spacing w:line="276" w:lineRule="auto" w:after="40"/>
      </w:pPr>
      <w:r>
        <w:rPr>
          <w:sz w:val="22"/>
        </w:rPr>
        <w:t>приёмочной экспертизой Заказчика в порядке раздела 3 Контракта.</w:t>
      </w:r>
    </w:p>
    <w:p>
      <w:pPr>
        <w:keepNext/>
        <w:spacing w:before="280" w:after="120"/>
      </w:pPr>
      <w:r>
        <w:rPr>
          <w:b/>
          <w:sz w:val="26"/>
        </w:rPr>
        <w:t>9. Формат сдачи документации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Передача Заказчику разработанной документации осуществляется в форме электронных документов в соответствии с приказом Минстроя России от 12.05.2017 № 783/пр (XML-описи + PDF/A файлы разделов) с последующим размещением в ЕИС в составе структурированного документа о приёмке. По требованию Заказчика дополнительно передаётся бумажный комплект в согласованном количестве экземпляров.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Сметная документация передаётся в форматах, требуемых для прохождения проверки достоверности определения сметной стоимости в ФАУ «Главгосэкспертиза России», включая выгрузку в государственной информационной системе ценообразования в строительстве (ФГИС ЦС).</w:t>
      </w:r>
    </w:p>
    <w:p>
      <w:pPr>
        <w:keepNext/>
        <w:spacing w:before="280" w:after="120"/>
      </w:pPr>
      <w:r>
        <w:rPr>
          <w:b/>
          <w:sz w:val="26"/>
        </w:rPr>
        <w:t>10. Ответственность и риски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10.1. Исполнитель несёт ответственность за качество, полноту и сроки выполнения работ в порядке раздела 5 Контракта и пункта 4.3 ТЗ.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10.2. Гарантийный срок на разработанную документацию — 3 (три) года с даты подписания Заказчиком структурированного документа о приёмке (пункт 4.2 ТЗ).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10.3. В период гарантийного срока Исполнитель за свой счёт обеспечивает необходимое продление технических условий, повторное согласование рабочей документации (при изменении решений) и выпуск сметной документации по принятым в РД решениям не позднее 30 (тридцати) календарных дней с даты выпуска окончательной редакции РД (пункт 4.4 ТЗ).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10.4. Исключительные права на результаты интеллектуальной деятельности, созданные при исполнении Контракта, передаются Заказчику в полном объёме на дату подписания структурированного документа о приёмке (пункт 16.4 Контракта). Исполнитель направляет Заказчику уведомление об РИД, подлежащих правовой охране, незамедлительно по окончании работ.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10.5. Сведения, полученные в процессе исполнения Контракта, являются конфиденциальными в течение 3 (трёх) календарных лет с даты окончания срока действия Контракта (пункт 16.8 Контракта).</w:t>
      </w:r>
    </w:p>
    <w:p>
      <w:pPr>
        <w:keepNext/>
        <w:spacing w:before="280" w:after="120"/>
      </w:pPr>
      <w:r>
        <w:rPr>
          <w:b/>
          <w:sz w:val="26"/>
        </w:rPr>
        <w:t>11. Заключительные положения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11.1. Настоящий Порядок выполнения работ вступает в силу с даты его согласования Заказчиком и действует до полного исполнения Сторонами обязательств по Контракту.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11.2. Внесение изменений в Порядок осуществляется в письменной форме по согласованию Сторон. Изменения, не затрагивающие существенных условий Контракта, оформляются дополнениями к настоящему Порядку.</w:t>
      </w:r>
    </w:p>
    <w:p>
      <w:pPr>
        <w:spacing w:line="276" w:lineRule="auto" w:after="80"/>
        <w:ind w:firstLine="709"/>
        <w:jc w:val="both"/>
      </w:pPr>
      <w:r>
        <w:rPr>
          <w:sz w:val="22"/>
        </w:rPr>
        <w:t>11.3. Настоящий Порядок составлен в форме электронного документа и направлен Заказчику в составе исх. № 26/0522/01-ГИП от 22.05.2026 г.</w:t>
      </w:r>
    </w:p>
    <w:p/>
    <w:p/>
    <w:p>
      <w:r>
        <w:rPr>
          <w:b/>
          <w:sz w:val="22"/>
        </w:rPr>
        <w:t>Разработал:</w:t>
      </w:r>
    </w:p>
    <w:p>
      <w:r>
        <w:rPr>
          <w:sz w:val="22"/>
        </w:rPr>
        <w:t>Главный инженер проекта ООО «МРС»</w:t>
      </w:r>
    </w:p>
    <w:p>
      <w:r>
        <w:rPr>
          <w:sz w:val="22"/>
        </w:rPr>
        <w:t>_________________ /__________________________/        22.05.2026 г.</w:t>
      </w:r>
    </w:p>
    <w:p/>
    <w:p>
      <w:r>
        <w:rPr>
          <w:b/>
          <w:sz w:val="22"/>
        </w:rPr>
        <w:t>Утверждаю:</w:t>
      </w:r>
    </w:p>
    <w:p>
      <w:r>
        <w:rPr>
          <w:sz w:val="22"/>
        </w:rPr>
        <w:t>Генеральный директор ООО «МРС»</w:t>
      </w:r>
    </w:p>
    <w:p>
      <w:r>
        <w:rPr>
          <w:sz w:val="22"/>
        </w:rPr>
        <w:t>_________________ М.Б. Молотилов                            «___» __________ 2026 г.</w:t>
      </w:r>
    </w:p>
    <w:p/>
    <w:p>
      <w:r>
        <w:rPr>
          <w:b/>
          <w:sz w:val="22"/>
        </w:rPr>
        <w:t>Согласовано:</w:t>
      </w:r>
    </w:p>
    <w:p>
      <w:r>
        <w:rPr>
          <w:sz w:val="22"/>
        </w:rPr>
        <w:t>От ФГБОУ ВО «РЭУ им. Г.В. Плеханова»</w:t>
      </w:r>
    </w:p>
    <w:p>
      <w:r>
        <w:rPr>
          <w:sz w:val="22"/>
        </w:rPr>
        <w:t>_________________ С.А. Мельникова                       «___» __________ 2026 г.</w:t>
      </w:r>
    </w:p>
    <w:sectPr w:rsidR="00FC693F" w:rsidRPr="0006063C" w:rsidSect="00034616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